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1"/>
        <w:tblpPr w:leftFromText="141" w:rightFromText="141" w:vertAnchor="text" w:horzAnchor="margin" w:tblpY="-330"/>
        <w:tblW w:w="0" w:type="auto"/>
        <w:tblLook w:val="04A0" w:firstRow="1" w:lastRow="0" w:firstColumn="1" w:lastColumn="0" w:noHBand="0" w:noVBand="1"/>
      </w:tblPr>
      <w:tblGrid>
        <w:gridCol w:w="7933"/>
        <w:gridCol w:w="1531"/>
      </w:tblGrid>
      <w:tr w:rsidR="005C575C" w:rsidRPr="005C575C" w:rsidTr="00970E15">
        <w:tc>
          <w:tcPr>
            <w:tcW w:w="7933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sz w:val="28"/>
                <w:szCs w:val="28"/>
                <w:lang w:val="de-DE" w:eastAsia="de-DE"/>
              </w:rPr>
              <w:t xml:space="preserve">Verzeichnis von Verarbeitungstätigkeiten Verantwortlicher </w:t>
            </w:r>
            <w:r w:rsidRPr="005C575C">
              <w:rPr>
                <w:rFonts w:ascii="DIN Pro" w:hAnsi="DIN Pro" w:cs="Arial"/>
                <w:b/>
                <w:sz w:val="18"/>
                <w:szCs w:val="18"/>
                <w:lang w:val="de-DE" w:eastAsia="de-DE"/>
              </w:rPr>
              <w:t>gem. Artikel 30 Abs. 1 DSGVO</w:t>
            </w:r>
          </w:p>
        </w:tc>
        <w:tc>
          <w:tcPr>
            <w:tcW w:w="153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 w:line="360" w:lineRule="auto"/>
              <w:jc w:val="right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Vorblatt</w:t>
            </w:r>
          </w:p>
        </w:tc>
      </w:tr>
      <w:tr w:rsidR="005C575C" w:rsidRPr="005C575C" w:rsidTr="00574779">
        <w:tc>
          <w:tcPr>
            <w:tcW w:w="9464" w:type="dxa"/>
            <w:gridSpan w:val="2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b/>
                <w:sz w:val="24"/>
                <w:szCs w:val="24"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sz w:val="24"/>
                <w:szCs w:val="24"/>
                <w:lang w:val="de-DE" w:eastAsia="de-DE"/>
              </w:rPr>
              <w:t>Angaben zum Verantwortlichen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Staatliches Museum für Naturkunde Stuttgart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 xml:space="preserve">Vertreten durch </w:t>
            </w:r>
            <w:r w:rsidR="00A94670">
              <w:rPr>
                <w:rFonts w:ascii="DIN Pro" w:hAnsi="DIN Pro" w:cs="Arial"/>
                <w:lang w:val="de-DE" w:eastAsia="de-DE"/>
              </w:rPr>
              <w:t>Prof. Dr. Lars Krogmann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 xml:space="preserve">Rosenstein 1 </w:t>
            </w:r>
            <w:r w:rsidRPr="005C575C">
              <w:rPr>
                <w:rFonts w:ascii="MS Mincho" w:eastAsia="MS Mincho" w:hAnsi="MS Mincho" w:cs="MS Mincho"/>
                <w:lang w:val="de-DE" w:eastAsia="de-DE"/>
              </w:rPr>
              <w:t> 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 xml:space="preserve">D-70191 Stuttgart 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 xml:space="preserve">Deutschland 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Phone: 0049- (0) 711-8936-0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Fax: 0049- (0) 711-8936-100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 xml:space="preserve">E-Mail: museum@smns-bw.de 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Internet: http://www.naturkundemuseum-bw.de</w:t>
            </w:r>
          </w:p>
        </w:tc>
      </w:tr>
      <w:tr w:rsidR="005C575C" w:rsidRPr="005C575C" w:rsidTr="00574779">
        <w:tc>
          <w:tcPr>
            <w:tcW w:w="9464" w:type="dxa"/>
            <w:gridSpan w:val="2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sz w:val="24"/>
                <w:szCs w:val="24"/>
                <w:lang w:val="de-DE" w:eastAsia="de-DE"/>
              </w:rPr>
              <w:t>Angaben zum behördlichen Datenschutzbeauftragten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Dr. Marcus Hoinle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datenschutz@smns-bw.de</w:t>
            </w:r>
          </w:p>
        </w:tc>
      </w:tr>
      <w:tr w:rsidR="005C575C" w:rsidRPr="005C575C" w:rsidTr="00574779">
        <w:tc>
          <w:tcPr>
            <w:tcW w:w="9464" w:type="dxa"/>
            <w:gridSpan w:val="2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b/>
                <w:sz w:val="24"/>
                <w:szCs w:val="24"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sz w:val="24"/>
                <w:szCs w:val="24"/>
                <w:lang w:val="de-DE" w:eastAsia="de-DE"/>
              </w:rPr>
              <w:t>Angaben zur Stabstelle IT Infrastruktur</w:t>
            </w:r>
          </w:p>
          <w:tbl>
            <w:tblPr>
              <w:tblW w:w="0" w:type="auto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3"/>
              <w:gridCol w:w="2232"/>
              <w:gridCol w:w="2767"/>
            </w:tblGrid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b/>
                      <w:bCs/>
                      <w:sz w:val="24"/>
                      <w:szCs w:val="24"/>
                      <w:lang w:eastAsia="de-DE"/>
                    </w:rPr>
                    <w:t>Aufgaben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b/>
                      <w:bCs/>
                      <w:sz w:val="24"/>
                      <w:szCs w:val="24"/>
                      <w:lang w:eastAsia="de-DE"/>
                    </w:rPr>
                    <w:t>Verantwortlicher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b/>
                      <w:bCs/>
                      <w:sz w:val="24"/>
                      <w:szCs w:val="24"/>
                      <w:lang w:eastAsia="de-DE"/>
                    </w:rPr>
                    <w:t>Stellvertreter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Reparaturen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Hagmann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6373B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Hirth, Schuhmann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Beschaffungen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Hagmann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6373B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Hirth, Holstein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Arbeitsplätze einrichten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Hagmann (+ Haustechnik)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6373B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Hirth, Schuhmann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Nutzerverwaltung Netzwerk, Netzwerkadministration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6373B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Hagmann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6373B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Hirth, Schuhmann, Holstein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Nutzerbetreuung Netzwerk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6373B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Hirth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6373B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Hagmann, Holstein, Monje, Jandl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W-LAN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6373B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Hirth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Hagmann</w:t>
                  </w:r>
                  <w:r w:rsidR="005C575C"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, Holstein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 xml:space="preserve">Nutzerverwaltung </w:t>
                  </w:r>
                  <w:proofErr w:type="spellStart"/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e-mail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Jandl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Hagmann</w:t>
                  </w:r>
                </w:p>
              </w:tc>
            </w:tr>
            <w:tr w:rsidR="0056373B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</w:tcPr>
                <w:p w:rsidR="0056373B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 xml:space="preserve">Nutzerverwaltung </w:t>
                  </w:r>
                  <w:r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WIKI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</w:tcPr>
                <w:p w:rsidR="0056373B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Jandl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</w:tcPr>
                <w:p w:rsidR="0056373B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Holstein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Backups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Jandl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Hirth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Virenscanner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Jandl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6373B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Hirth, Schuhmann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„Börse“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Jandl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Hagmann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proofErr w:type="spellStart"/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Diversity</w:t>
                  </w:r>
                  <w:proofErr w:type="spellEnd"/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 xml:space="preserve"> </w:t>
                  </w:r>
                  <w:proofErr w:type="spellStart"/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Workbench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Monje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1C2C85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1C2C85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Wendt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Online-Datenbanken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Monje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1C2C85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proofErr w:type="spellStart"/>
                  <w:r w:rsidRPr="001C2C85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Walbaum</w:t>
                  </w:r>
                  <w:proofErr w:type="spellEnd"/>
                  <w:r w:rsidRPr="001C2C85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, Holstein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lastRenderedPageBreak/>
                    <w:t>Linux-Server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1C2C85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proofErr w:type="spellStart"/>
                  <w:r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Walbaum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46172A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Monje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Domainverwaltung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1C2C85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proofErr w:type="spellStart"/>
                  <w:r w:rsidRPr="001C2C85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Walbaum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Holstein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Softwarelizenzen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Holstein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Monje, Hagmann, Jandl</w:t>
                  </w: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Projektion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Haustechnik / Aufsicht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Multimedia / Ausstellungen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Hagmann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C575C" w:rsidRPr="005C575C" w:rsidTr="00574779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5C575C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SMNS Homepage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1C2C85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  <w:r w:rsidRPr="001C2C85"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  <w:t>Schubert / ÖA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5C575C" w:rsidRPr="005C575C" w:rsidRDefault="005C575C" w:rsidP="001C2C85">
                  <w:pPr>
                    <w:framePr w:hSpace="141" w:wrap="around" w:vAnchor="text" w:hAnchor="margin" w:y="-330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DIN Pro" w:eastAsia="Times New Roman" w:hAnsi="DIN Pro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24"/>
                <w:szCs w:val="24"/>
                <w:lang w:val="de-DE" w:eastAsia="de-DE"/>
              </w:rPr>
            </w:pPr>
          </w:p>
        </w:tc>
      </w:tr>
    </w:tbl>
    <w:p w:rsidR="005C575C" w:rsidRPr="005C575C" w:rsidRDefault="005C575C" w:rsidP="005C575C">
      <w:pPr>
        <w:widowControl w:val="0"/>
        <w:autoSpaceDE w:val="0"/>
        <w:autoSpaceDN w:val="0"/>
        <w:spacing w:after="0" w:line="228" w:lineRule="exact"/>
        <w:rPr>
          <w:rFonts w:ascii="DIN Pro" w:eastAsia="Times New Roman" w:hAnsi="DIN Pro" w:cs="Arial"/>
          <w:sz w:val="20"/>
          <w:lang w:eastAsia="de-DE"/>
        </w:rPr>
      </w:pPr>
    </w:p>
    <w:p w:rsidR="005C575C" w:rsidRPr="005C575C" w:rsidRDefault="005C575C" w:rsidP="005C575C">
      <w:pPr>
        <w:widowControl w:val="0"/>
        <w:spacing w:after="0" w:line="240" w:lineRule="auto"/>
        <w:rPr>
          <w:rFonts w:ascii="DIN Pro" w:eastAsia="Times New Roman" w:hAnsi="DIN Pro" w:cs="Arial"/>
          <w:sz w:val="20"/>
          <w:lang w:eastAsia="de-DE"/>
        </w:rPr>
      </w:pPr>
      <w:r w:rsidRPr="005C575C">
        <w:rPr>
          <w:rFonts w:ascii="DIN Pro" w:eastAsia="Times New Roman" w:hAnsi="DIN Pro" w:cs="Arial"/>
          <w:sz w:val="20"/>
          <w:lang w:eastAsia="de-DE"/>
        </w:rPr>
        <w:br w:type="page"/>
      </w:r>
    </w:p>
    <w:tbl>
      <w:tblPr>
        <w:tblStyle w:val="Tabellenraster1"/>
        <w:tblW w:w="0" w:type="auto"/>
        <w:tblInd w:w="262" w:type="dxa"/>
        <w:tblLook w:val="04A0" w:firstRow="1" w:lastRow="0" w:firstColumn="1" w:lastColumn="0" w:noHBand="0" w:noVBand="1"/>
      </w:tblPr>
      <w:tblGrid>
        <w:gridCol w:w="2622"/>
        <w:gridCol w:w="2021"/>
        <w:gridCol w:w="2528"/>
        <w:gridCol w:w="2067"/>
      </w:tblGrid>
      <w:tr w:rsidR="005C575C" w:rsidRPr="005C575C" w:rsidTr="00574779">
        <w:tc>
          <w:tcPr>
            <w:tcW w:w="7359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jc w:val="center"/>
              <w:rPr>
                <w:rFonts w:ascii="DIN Pro" w:hAnsi="DIN Pro" w:cs="Arial"/>
                <w:b/>
                <w:sz w:val="24"/>
                <w:szCs w:val="24"/>
                <w:lang w:val="de-DE" w:eastAsia="de-DE"/>
              </w:rPr>
            </w:pPr>
          </w:p>
          <w:p w:rsidR="005C575C" w:rsidRPr="007A4DB6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jc w:val="center"/>
              <w:rPr>
                <w:rFonts w:ascii="DIN Pro" w:hAnsi="DIN Pro" w:cs="Arial"/>
                <w:b/>
                <w:sz w:val="28"/>
                <w:szCs w:val="28"/>
                <w:lang w:val="de-DE" w:eastAsia="de-DE"/>
              </w:rPr>
            </w:pPr>
            <w:r w:rsidRPr="007A4DB6">
              <w:rPr>
                <w:rFonts w:ascii="DIN Pro" w:hAnsi="DIN Pro" w:cs="Arial"/>
                <w:b/>
                <w:sz w:val="28"/>
                <w:szCs w:val="28"/>
                <w:lang w:val="de-DE" w:eastAsia="de-DE"/>
              </w:rPr>
              <w:t>Ticketsystem für Supportanfragen</w:t>
            </w:r>
          </w:p>
          <w:p w:rsidR="007A4DB6" w:rsidRPr="005C575C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jc w:val="center"/>
              <w:rPr>
                <w:rFonts w:ascii="DIN Pro" w:hAnsi="DIN Pro" w:cs="Arial"/>
                <w:lang w:val="de-DE" w:eastAsia="de-DE"/>
              </w:rPr>
            </w:pPr>
          </w:p>
        </w:tc>
        <w:tc>
          <w:tcPr>
            <w:tcW w:w="2105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lfd. Nr.</w:t>
            </w:r>
          </w:p>
          <w:p w:rsidR="005C575C" w:rsidRPr="005C575C" w:rsidRDefault="000E1343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jc w:val="center"/>
              <w:rPr>
                <w:rFonts w:ascii="DIN Pro" w:hAnsi="DIN Pro" w:cs="Arial"/>
                <w:b/>
                <w:lang w:val="de-DE" w:eastAsia="de-DE"/>
              </w:rPr>
            </w:pPr>
            <w:r>
              <w:rPr>
                <w:rFonts w:ascii="DIN Pro" w:hAnsi="DIN Pro" w:cs="Arial"/>
                <w:b/>
                <w:lang w:val="de-DE" w:eastAsia="de-DE"/>
              </w:rPr>
              <w:t>5.11</w:t>
            </w:r>
          </w:p>
        </w:tc>
      </w:tr>
      <w:tr w:rsidR="005C575C" w:rsidRPr="005C575C" w:rsidTr="00574779">
        <w:tc>
          <w:tcPr>
            <w:tcW w:w="4758" w:type="dxa"/>
            <w:gridSpan w:val="2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 xml:space="preserve">Datum der Einführung: </w:t>
            </w:r>
            <w:r w:rsidR="007A4DB6">
              <w:rPr>
                <w:rFonts w:ascii="DIN Pro" w:hAnsi="DIN Pro" w:cs="Arial"/>
                <w:lang w:val="de-DE" w:eastAsia="de-DE"/>
              </w:rPr>
              <w:t>März 2025</w:t>
            </w:r>
          </w:p>
        </w:tc>
        <w:tc>
          <w:tcPr>
            <w:tcW w:w="4706" w:type="dxa"/>
            <w:gridSpan w:val="2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 xml:space="preserve">Datum der letzten Änderung: </w:t>
            </w:r>
          </w:p>
        </w:tc>
      </w:tr>
      <w:tr w:rsidR="005C575C" w:rsidRPr="007A4DB6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Verantwortliche Fachabteilung, Ansprechpartner,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Telefon, E-Mail-Adresse</w:t>
            </w:r>
          </w:p>
          <w:p w:rsidR="005C575C" w:rsidRPr="00A94670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eastAsia="de-DE"/>
              </w:rPr>
            </w:pPr>
            <w:r w:rsidRPr="00A94670">
              <w:rPr>
                <w:rFonts w:ascii="DIN Pro" w:hAnsi="DIN Pro" w:cs="Arial"/>
                <w:sz w:val="18"/>
                <w:szCs w:val="18"/>
                <w:lang w:eastAsia="de-DE"/>
              </w:rPr>
              <w:t>(Art. 30 Abs. 1 S. 2 lit a DSGVO)</w:t>
            </w:r>
          </w:p>
        </w:tc>
        <w:tc>
          <w:tcPr>
            <w:tcW w:w="6783" w:type="dxa"/>
            <w:gridSpan w:val="3"/>
          </w:tcPr>
          <w:p w:rsidR="005C575C" w:rsidRPr="001C2C85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1C2C85">
              <w:rPr>
                <w:rFonts w:ascii="DIN Pro" w:hAnsi="DIN Pro" w:cs="Arial"/>
                <w:lang w:val="de-DE" w:eastAsia="de-DE"/>
              </w:rPr>
              <w:t>Stabsstelle IT &amp; Biodiversitätsinformatik | Support</w:t>
            </w:r>
          </w:p>
          <w:p w:rsidR="007A4DB6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7A4DB6">
              <w:rPr>
                <w:rFonts w:ascii="DIN Pro" w:hAnsi="DIN Pro" w:cs="Arial"/>
                <w:lang w:val="de-DE" w:eastAsia="de-DE"/>
              </w:rPr>
              <w:t xml:space="preserve">Hr. </w:t>
            </w:r>
            <w:r>
              <w:rPr>
                <w:rFonts w:ascii="DIN Pro" w:hAnsi="DIN Pro" w:cs="Arial"/>
                <w:lang w:val="de-DE" w:eastAsia="de-DE"/>
              </w:rPr>
              <w:t>Philipp Schuhmann</w:t>
            </w:r>
          </w:p>
          <w:p w:rsidR="007A4DB6" w:rsidRDefault="0046172A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val="de-DE" w:eastAsia="de-DE"/>
              </w:rPr>
              <w:t>004915759316894</w:t>
            </w:r>
          </w:p>
          <w:p w:rsidR="007A4DB6" w:rsidRPr="007A4DB6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7A4DB6">
              <w:rPr>
                <w:rFonts w:ascii="DIN Pro" w:hAnsi="DIN Pro" w:cs="Arial"/>
                <w:lang w:val="de-DE" w:eastAsia="de-DE"/>
              </w:rPr>
              <w:t>philipp.schuhmann@smns-bw.de</w:t>
            </w: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Zwecke der Verarbeitung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 xml:space="preserve">(Art. 30 Abs. 1 S. 2 </w:t>
            </w:r>
            <w:proofErr w:type="spellStart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lit</w:t>
            </w:r>
            <w:proofErr w:type="spellEnd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 xml:space="preserve"> b DSGVO)</w:t>
            </w:r>
          </w:p>
        </w:tc>
        <w:tc>
          <w:tcPr>
            <w:tcW w:w="6783" w:type="dxa"/>
            <w:gridSpan w:val="3"/>
          </w:tcPr>
          <w:p w:rsidR="005C575C" w:rsidRPr="005C575C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val="de-DE" w:eastAsia="de-DE"/>
              </w:rPr>
              <w:t xml:space="preserve">Einrichtung und Betrieb eines </w:t>
            </w:r>
            <w:r w:rsidRPr="007A4DB6">
              <w:rPr>
                <w:rFonts w:ascii="DIN Pro" w:hAnsi="DIN Pro" w:cs="Arial"/>
                <w:lang w:val="de-DE" w:eastAsia="de-DE"/>
              </w:rPr>
              <w:t>Supporthelpdesk</w:t>
            </w:r>
            <w:r>
              <w:rPr>
                <w:rFonts w:ascii="DIN Pro" w:hAnsi="DIN Pro" w:cs="Arial"/>
                <w:lang w:val="de-DE" w:eastAsia="de-DE"/>
              </w:rPr>
              <w:t>s</w:t>
            </w:r>
            <w:r w:rsidRPr="007A4DB6">
              <w:rPr>
                <w:rFonts w:ascii="DIN Pro" w:hAnsi="DIN Pro" w:cs="Arial"/>
                <w:lang w:val="de-DE" w:eastAsia="de-DE"/>
              </w:rPr>
              <w:t xml:space="preserve"> bei Computerproblemen</w:t>
            </w: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Name des eingesetzten Verfahrens</w:t>
            </w:r>
            <w:r w:rsidRPr="005C575C">
              <w:rPr>
                <w:rFonts w:ascii="DIN Pro" w:hAnsi="DIN Pro" w:cs="Arial"/>
                <w:sz w:val="20"/>
                <w:szCs w:val="20"/>
                <w:lang w:val="de-DE" w:eastAsia="de-DE"/>
              </w:rPr>
              <w:t xml:space="preserve"> </w:t>
            </w:r>
            <w:r w:rsidRPr="005C575C">
              <w:rPr>
                <w:rFonts w:ascii="DIN Pro" w:hAnsi="DIN Pro" w:cs="Arial"/>
                <w:lang w:val="de-DE" w:eastAsia="de-DE"/>
              </w:rPr>
              <w:t>(optional)</w:t>
            </w: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Datenverarbeitung im Auftrag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(§ 28 DSGVO)</w:t>
            </w: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findet statt, mit Auftragsverarbeiter: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Pr="001C2C85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>
              <w:rPr>
                <w:rFonts w:ascii="DIN Pro" w:hAnsi="DIN Pro" w:cs="Arial"/>
                <w:lang w:eastAsia="de-DE"/>
              </w:rPr>
              <w:fldChar w:fldCharType="end"/>
            </w:r>
            <w:r w:rsidR="005C575C" w:rsidRPr="005C575C">
              <w:rPr>
                <w:rFonts w:ascii="DIN Pro" w:hAnsi="DIN Pro" w:cs="Arial"/>
                <w:lang w:val="de-DE" w:eastAsia="de-DE"/>
              </w:rPr>
              <w:t xml:space="preserve"> findet nicht statt</w:t>
            </w: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Rechtsgrundlage</w:t>
            </w: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b/>
                <w:lang w:val="de-DE" w:eastAsia="de-DE"/>
              </w:rPr>
            </w:pPr>
          </w:p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b/>
                <w:lang w:eastAsia="de-DE"/>
              </w:rPr>
            </w:r>
            <w:r w:rsidR="00DF1F0E">
              <w:rPr>
                <w:rFonts w:ascii="DIN Pro" w:hAnsi="DIN Pro" w:cs="Arial"/>
                <w:b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b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 xml:space="preserve"> </w:t>
            </w:r>
            <w:r w:rsidRPr="005C575C">
              <w:rPr>
                <w:rFonts w:ascii="DIN Pro" w:hAnsi="DIN Pro" w:cs="Arial"/>
                <w:lang w:val="de-DE" w:eastAsia="de-DE"/>
              </w:rPr>
              <w:t>Rechtmäßigkeit der Verarbeitung (Art. 6 DSGVO)</w:t>
            </w:r>
          </w:p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 xml:space="preserve"> </w:t>
            </w:r>
          </w:p>
          <w:p w:rsidR="005C575C" w:rsidRPr="005C575C" w:rsidRDefault="007A4DB6" w:rsidP="005C575C">
            <w:pPr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b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Pr="007A4DB6">
              <w:rPr>
                <w:rFonts w:ascii="DIN Pro" w:hAnsi="DIN Pro" w:cs="Arial"/>
                <w:b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b/>
                <w:lang w:eastAsia="de-DE"/>
              </w:rPr>
            </w:r>
            <w:r w:rsidR="00DF1F0E">
              <w:rPr>
                <w:rFonts w:ascii="DIN Pro" w:hAnsi="DIN Pro" w:cs="Arial"/>
                <w:b/>
                <w:lang w:eastAsia="de-DE"/>
              </w:rPr>
              <w:fldChar w:fldCharType="separate"/>
            </w:r>
            <w:r>
              <w:rPr>
                <w:rFonts w:ascii="DIN Pro" w:hAnsi="DIN Pro" w:cs="Arial"/>
                <w:b/>
                <w:lang w:eastAsia="de-DE"/>
              </w:rPr>
              <w:fldChar w:fldCharType="end"/>
            </w:r>
            <w:r w:rsidR="005C575C" w:rsidRPr="005C575C">
              <w:rPr>
                <w:rFonts w:ascii="DIN Pro" w:hAnsi="DIN Pro" w:cs="Arial"/>
                <w:lang w:val="de-DE" w:eastAsia="de-DE"/>
              </w:rPr>
              <w:t xml:space="preserve"> Datenverarbeitung bei Dienst- und Arbeitsverhältnissen (§ 15 LDSG-neu, Art. 88 DSGVO)</w:t>
            </w:r>
          </w:p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b/>
                <w:lang w:val="de-DE" w:eastAsia="de-DE"/>
              </w:rPr>
            </w:pPr>
          </w:p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b/>
                <w:lang w:eastAsia="de-DE"/>
              </w:rPr>
            </w:r>
            <w:r w:rsidR="00DF1F0E">
              <w:rPr>
                <w:rFonts w:ascii="DIN Pro" w:hAnsi="DIN Pro" w:cs="Arial"/>
                <w:b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b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 xml:space="preserve"> </w:t>
            </w:r>
            <w:r w:rsidRPr="005C575C">
              <w:rPr>
                <w:rFonts w:ascii="DIN Pro" w:hAnsi="DIN Pro" w:cs="Arial"/>
                <w:lang w:val="de-DE" w:eastAsia="de-DE"/>
              </w:rPr>
              <w:t>spezielle Rechtsvorschrift  (z. B. TMG, TKG, LBG):</w:t>
            </w:r>
          </w:p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 xml:space="preserve">         </w:t>
            </w:r>
            <w:bookmarkStart w:id="0" w:name="Text182"/>
          </w:p>
          <w:bookmarkEnd w:id="0"/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b/>
                <w:lang w:eastAsia="de-DE"/>
              </w:rPr>
            </w:r>
            <w:r w:rsidR="00DF1F0E">
              <w:rPr>
                <w:rFonts w:ascii="DIN Pro" w:hAnsi="DIN Pro" w:cs="Arial"/>
                <w:b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b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 xml:space="preserve"> </w:t>
            </w:r>
            <w:r w:rsidRPr="005C575C">
              <w:rPr>
                <w:rFonts w:ascii="DIN Pro" w:hAnsi="DIN Pro" w:cs="Arial"/>
                <w:lang w:val="de-DE" w:eastAsia="de-DE"/>
              </w:rPr>
              <w:t>Einwilligung</w:t>
            </w: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Beschreibung der Kategorien betroffener Personen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 xml:space="preserve">(Art. 30 Abs. 1 S. 2 </w:t>
            </w:r>
            <w:proofErr w:type="spellStart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lit</w:t>
            </w:r>
            <w:proofErr w:type="spellEnd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. c DSGVO)</w:t>
            </w: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Pr="001C2C85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>
              <w:rPr>
                <w:rFonts w:ascii="DIN Pro" w:hAnsi="DIN Pro" w:cs="Arial"/>
                <w:lang w:eastAsia="de-DE"/>
              </w:rPr>
              <w:fldChar w:fldCharType="end"/>
            </w:r>
            <w:r w:rsidR="005C575C" w:rsidRPr="005C575C">
              <w:rPr>
                <w:rFonts w:ascii="DIN Pro" w:hAnsi="DIN Pro" w:cs="Arial"/>
                <w:lang w:val="de-DE" w:eastAsia="de-DE"/>
              </w:rPr>
              <w:t xml:space="preserve">  Beschäftigte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 Interessenten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 Lieferanten / Handwerker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 Kunden / Besucher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 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 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 </w:t>
            </w: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lastRenderedPageBreak/>
              <w:t>Beschreibung der Kate</w:t>
            </w:r>
            <w:r>
              <w:rPr>
                <w:rFonts w:ascii="DIN Pro" w:hAnsi="DIN Pro" w:cs="Arial"/>
                <w:lang w:val="de-DE" w:eastAsia="de-DE"/>
              </w:rPr>
              <w:t>gorien von personen</w:t>
            </w:r>
            <w:r w:rsidRPr="005C575C">
              <w:rPr>
                <w:rFonts w:ascii="DIN Pro" w:hAnsi="DIN Pro" w:cs="Arial"/>
                <w:lang w:val="de-DE" w:eastAsia="de-DE"/>
              </w:rPr>
              <w:t>bezogenen Daten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 xml:space="preserve">(Art. 30 Abs. 1 S. 2 </w:t>
            </w:r>
            <w:proofErr w:type="spellStart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lit</w:t>
            </w:r>
            <w:proofErr w:type="spellEnd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. c DSGVO)</w:t>
            </w:r>
          </w:p>
        </w:tc>
        <w:tc>
          <w:tcPr>
            <w:tcW w:w="6783" w:type="dxa"/>
            <w:gridSpan w:val="3"/>
          </w:tcPr>
          <w:p w:rsidR="005C575C" w:rsidRPr="005C575C" w:rsidRDefault="0046172A" w:rsidP="00672185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val="de-DE" w:eastAsia="de-DE"/>
              </w:rPr>
              <w:t>Vorname, Nachname, Geschäftsemailadresse, Abteilung, technisches Problem / Computerproblem</w:t>
            </w:r>
            <w:r w:rsidR="00AB71EB">
              <w:rPr>
                <w:rFonts w:ascii="DIN Pro" w:hAnsi="DIN Pro" w:cs="Arial"/>
                <w:lang w:val="de-DE" w:eastAsia="de-DE"/>
              </w:rPr>
              <w:t xml:space="preserve"> / Anfrage</w:t>
            </w: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 xml:space="preserve">Besondere Kategorien personenbezogener Daten 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(Art. 9 DSGVO)</w:t>
            </w:r>
          </w:p>
        </w:tc>
        <w:tc>
          <w:tcPr>
            <w:tcW w:w="6783" w:type="dxa"/>
            <w:gridSpan w:val="3"/>
          </w:tcPr>
          <w:p w:rsidR="005C575C" w:rsidRPr="005C575C" w:rsidRDefault="0046172A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val="de-DE" w:eastAsia="de-DE"/>
              </w:rPr>
              <w:t>nein</w:t>
            </w: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Herkunft der personenbezogenen Daten</w:t>
            </w: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Pr="001C2C85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>
              <w:rPr>
                <w:rFonts w:ascii="DIN Pro" w:hAnsi="DIN Pro" w:cs="Arial"/>
                <w:lang w:eastAsia="de-DE"/>
              </w:rPr>
              <w:fldChar w:fldCharType="end"/>
            </w:r>
            <w:r w:rsidR="005C575C" w:rsidRPr="005C575C">
              <w:rPr>
                <w:rFonts w:ascii="DIN Pro" w:hAnsi="DIN Pro" w:cs="Arial"/>
                <w:lang w:val="de-DE" w:eastAsia="de-DE"/>
              </w:rPr>
              <w:t xml:space="preserve"> Direkterhebung bei der betroffenen Person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Dritterhebung, bei/durch: 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rPr>
          <w:trHeight w:val="1072"/>
        </w:trPr>
        <w:tc>
          <w:tcPr>
            <w:tcW w:w="2681" w:type="dxa"/>
            <w:vMerge w:val="restart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Kategorien von Empfängern, gegenüber denen die personenbezogenen Daten offen gelegt wor</w:t>
            </w:r>
            <w:r>
              <w:rPr>
                <w:rFonts w:ascii="DIN Pro" w:hAnsi="DIN Pro" w:cs="Arial"/>
                <w:lang w:val="de-DE" w:eastAsia="de-DE"/>
              </w:rPr>
              <w:t>den sind oder noch wer</w:t>
            </w:r>
            <w:r w:rsidRPr="005C575C">
              <w:rPr>
                <w:rFonts w:ascii="DIN Pro" w:hAnsi="DIN Pro" w:cs="Arial"/>
                <w:lang w:val="de-DE" w:eastAsia="de-DE"/>
              </w:rPr>
              <w:t>den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 xml:space="preserve">(Art. 30 Abs. 1 S. 2 </w:t>
            </w:r>
            <w:proofErr w:type="spellStart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lit</w:t>
            </w:r>
            <w:proofErr w:type="spellEnd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. d DSGVO)</w:t>
            </w: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Pr="007A4DB6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>
              <w:rPr>
                <w:rFonts w:ascii="DIN Pro" w:hAnsi="DIN Pro" w:cs="Arial"/>
                <w:lang w:eastAsia="de-DE"/>
              </w:rPr>
              <w:fldChar w:fldCharType="end"/>
            </w:r>
            <w:r w:rsidR="005C575C" w:rsidRPr="005C575C">
              <w:rPr>
                <w:rFonts w:ascii="DIN Pro" w:hAnsi="DIN Pro" w:cs="Arial"/>
                <w:lang w:val="de-DE" w:eastAsia="de-DE"/>
              </w:rPr>
              <w:t xml:space="preserve">  intern (Zugriffsberechtigte) Abteilung/ Funktion:</w:t>
            </w:r>
          </w:p>
          <w:p w:rsidR="005C575C" w:rsidRPr="005C575C" w:rsidRDefault="0046172A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val="de-DE" w:eastAsia="de-DE"/>
              </w:rPr>
              <w:t>Alle ticketbearbeitenden</w:t>
            </w:r>
            <w:r w:rsidR="001842B2">
              <w:rPr>
                <w:rFonts w:ascii="DIN Pro" w:hAnsi="DIN Pro" w:cs="Arial"/>
                <w:lang w:val="de-DE" w:eastAsia="de-DE"/>
              </w:rPr>
              <w:t xml:space="preserve"> („Support“ leistenden)</w:t>
            </w:r>
            <w:r>
              <w:rPr>
                <w:rFonts w:ascii="DIN Pro" w:hAnsi="DIN Pro" w:cs="Arial"/>
                <w:lang w:val="de-DE" w:eastAsia="de-DE"/>
              </w:rPr>
              <w:t xml:space="preserve"> Personen der Querschnittsfunktionsbereiche (</w:t>
            </w:r>
            <w:r w:rsidR="007A4DB6" w:rsidRPr="007A4DB6">
              <w:rPr>
                <w:rFonts w:ascii="DIN Pro" w:hAnsi="DIN Pro" w:cs="Arial"/>
                <w:lang w:val="de-DE" w:eastAsia="de-DE"/>
              </w:rPr>
              <w:t>Stabsstelle IT</w:t>
            </w:r>
            <w:r>
              <w:rPr>
                <w:rFonts w:ascii="DIN Pro" w:hAnsi="DIN Pro" w:cs="Arial"/>
                <w:lang w:val="de-DE" w:eastAsia="de-DE"/>
              </w:rPr>
              <w:t>-Infrastruktur</w:t>
            </w:r>
            <w:r w:rsidR="007A4DB6" w:rsidRPr="007A4DB6">
              <w:rPr>
                <w:rFonts w:ascii="DIN Pro" w:hAnsi="DIN Pro" w:cs="Arial"/>
                <w:lang w:val="de-DE" w:eastAsia="de-DE"/>
              </w:rPr>
              <w:t xml:space="preserve"> </w:t>
            </w:r>
            <w:r>
              <w:rPr>
                <w:rFonts w:ascii="DIN Pro" w:hAnsi="DIN Pro" w:cs="Arial"/>
                <w:lang w:val="de-DE" w:eastAsia="de-DE"/>
              </w:rPr>
              <w:t>und</w:t>
            </w:r>
            <w:r w:rsidR="007A4DB6" w:rsidRPr="007A4DB6">
              <w:rPr>
                <w:rFonts w:ascii="DIN Pro" w:hAnsi="DIN Pro" w:cs="Arial"/>
                <w:lang w:val="de-DE" w:eastAsia="de-DE"/>
              </w:rPr>
              <w:t xml:space="preserve"> Biodiversitätsinformatik</w:t>
            </w:r>
            <w:r>
              <w:rPr>
                <w:rFonts w:ascii="DIN Pro" w:hAnsi="DIN Pro" w:cs="Arial"/>
                <w:lang w:val="de-DE" w:eastAsia="de-DE"/>
              </w:rPr>
              <w:t xml:space="preserve">; Haustechnik; </w:t>
            </w:r>
            <w:r w:rsidRPr="0046172A">
              <w:rPr>
                <w:rFonts w:ascii="DIN Pro" w:hAnsi="DIN Pro" w:cs="Arial"/>
                <w:lang w:val="de-DE" w:eastAsia="de-DE"/>
              </w:rPr>
              <w:t>Stabsstelle Ausstellungen, Szenografie und Grafikdesign</w:t>
            </w:r>
            <w:r>
              <w:rPr>
                <w:rFonts w:ascii="DIN Pro" w:hAnsi="DIN Pro" w:cs="Arial"/>
                <w:lang w:val="de-DE" w:eastAsia="de-DE"/>
              </w:rPr>
              <w:t>; Verwaltung)</w:t>
            </w:r>
          </w:p>
        </w:tc>
      </w:tr>
      <w:tr w:rsidR="005C575C" w:rsidRPr="005C575C" w:rsidTr="00574779">
        <w:trPr>
          <w:trHeight w:val="833"/>
        </w:trPr>
        <w:tc>
          <w:tcPr>
            <w:tcW w:w="2681" w:type="dxa"/>
            <w:vMerge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 extern Empfängerkategorie: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2681" w:type="dxa"/>
            <w:vMerge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 Drittland oder internationale Organisation (Kategorie):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ggf. Übermittlungen von personenbezogenen Daten an ei</w:t>
            </w:r>
            <w:r>
              <w:rPr>
                <w:rFonts w:ascii="DIN Pro" w:hAnsi="DIN Pro" w:cs="Arial"/>
                <w:lang w:val="de-DE" w:eastAsia="de-DE"/>
              </w:rPr>
              <w:t>n Drittland oder an eine inter</w:t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nationale Organisation 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 xml:space="preserve">(Art. 30 Abs. 1 S. 2 </w:t>
            </w:r>
            <w:proofErr w:type="spellStart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lit</w:t>
            </w:r>
            <w:proofErr w:type="spellEnd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. e DSGVO)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Nennung der konkreten Datenempfänger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 xml:space="preserve">Sofern es sich um eine in Art. 49 Abs. 1 Unterabsatz 2 DSGVO genannte Datenübermittlung handelt </w:t>
            </w: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Pr="007A4DB6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>
              <w:rPr>
                <w:rFonts w:ascii="DIN Pro" w:hAnsi="DIN Pro" w:cs="Arial"/>
                <w:lang w:eastAsia="de-DE"/>
              </w:rPr>
              <w:fldChar w:fldCharType="end"/>
            </w:r>
            <w:r w:rsidR="005C575C" w:rsidRPr="005C575C">
              <w:rPr>
                <w:rFonts w:ascii="DIN Pro" w:hAnsi="DIN Pro" w:cs="Arial"/>
                <w:lang w:val="de-DE" w:eastAsia="de-DE"/>
              </w:rPr>
              <w:t xml:space="preserve"> Datenübermittlung findet nicht statt und ist auch nicht geplant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 Datenübermittlung findet wie folgt statt: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Drittland oder internationale Organisation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Dokumentation geeigneter Garantien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lastRenderedPageBreak/>
              <w:t>Fristen für die Löschung der verschiedenen Datenkategorien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 xml:space="preserve">(Art. 30 Abs. 1 S. 2 </w:t>
            </w:r>
            <w:proofErr w:type="spellStart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lit</w:t>
            </w:r>
            <w:proofErr w:type="spellEnd"/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. f DSGVO)</w:t>
            </w:r>
          </w:p>
        </w:tc>
        <w:tc>
          <w:tcPr>
            <w:tcW w:w="6783" w:type="dxa"/>
            <w:gridSpan w:val="3"/>
          </w:tcPr>
          <w:p w:rsidR="005C575C" w:rsidRDefault="0046172A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46172A">
              <w:rPr>
                <w:rFonts w:ascii="DIN Pro" w:hAnsi="DIN Pro" w:cs="Arial"/>
                <w:i/>
                <w:lang w:val="de-DE" w:eastAsia="de-DE"/>
              </w:rPr>
              <w:t>+ Bei Ausscheiden des Mitarbeiters:</w:t>
            </w:r>
            <w:r>
              <w:rPr>
                <w:rFonts w:ascii="DIN Pro" w:hAnsi="DIN Pro" w:cs="Arial"/>
                <w:lang w:val="de-DE" w:eastAsia="de-DE"/>
              </w:rPr>
              <w:t xml:space="preserve"> </w:t>
            </w:r>
            <w:r w:rsidRPr="0046172A">
              <w:rPr>
                <w:rFonts w:ascii="DIN Pro" w:hAnsi="DIN Pro" w:cs="Arial"/>
                <w:lang w:val="de-DE" w:eastAsia="de-DE"/>
              </w:rPr>
              <w:t>Vorname, Nachname, Geschäftsemailadresse, Abteilung</w:t>
            </w:r>
          </w:p>
          <w:p w:rsidR="0046172A" w:rsidRDefault="0046172A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val="de-DE" w:eastAsia="de-DE"/>
              </w:rPr>
              <w:t xml:space="preserve">+ </w:t>
            </w:r>
            <w:r w:rsidRPr="0046172A">
              <w:rPr>
                <w:rFonts w:ascii="DIN Pro" w:hAnsi="DIN Pro" w:cs="Arial"/>
                <w:i/>
                <w:lang w:val="de-DE" w:eastAsia="de-DE"/>
              </w:rPr>
              <w:t xml:space="preserve">Nach </w:t>
            </w:r>
            <w:r w:rsidR="006A02EB">
              <w:rPr>
                <w:rFonts w:ascii="DIN Pro" w:hAnsi="DIN Pro" w:cs="Arial"/>
                <w:i/>
                <w:lang w:val="de-DE" w:eastAsia="de-DE"/>
              </w:rPr>
              <w:t>9</w:t>
            </w:r>
            <w:r w:rsidRPr="0046172A">
              <w:rPr>
                <w:rFonts w:ascii="DIN Pro" w:hAnsi="DIN Pro" w:cs="Arial"/>
                <w:i/>
                <w:lang w:val="de-DE" w:eastAsia="de-DE"/>
              </w:rPr>
              <w:t xml:space="preserve"> Monaten:</w:t>
            </w:r>
            <w:r>
              <w:rPr>
                <w:rFonts w:ascii="DIN Pro" w:hAnsi="DIN Pro" w:cs="Arial"/>
                <w:lang w:val="de-DE" w:eastAsia="de-DE"/>
              </w:rPr>
              <w:t xml:space="preserve"> </w:t>
            </w:r>
            <w:r>
              <w:rPr>
                <w:rFonts w:ascii="DIN Pro" w:hAnsi="DIN Pro" w:cs="Arial"/>
                <w:lang w:val="de-DE" w:eastAsia="de-DE"/>
              </w:rPr>
              <w:t>technisches Problem / Computerproblem</w:t>
            </w:r>
            <w:r w:rsidR="00AB71EB">
              <w:rPr>
                <w:rFonts w:ascii="DIN Pro" w:hAnsi="DIN Pro" w:cs="Arial"/>
                <w:lang w:val="de-DE" w:eastAsia="de-DE"/>
              </w:rPr>
              <w:t xml:space="preserve"> / Anfrage</w:t>
            </w:r>
          </w:p>
          <w:p w:rsidR="0046172A" w:rsidRPr="005C575C" w:rsidRDefault="0046172A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val="de-DE" w:eastAsia="de-DE"/>
              </w:rPr>
              <w:t xml:space="preserve">(vgl. Kategorien </w:t>
            </w:r>
            <w:r w:rsidR="00AB71EB">
              <w:rPr>
                <w:rFonts w:ascii="DIN Pro" w:hAnsi="DIN Pro" w:cs="Arial"/>
                <w:lang w:val="de-DE" w:eastAsia="de-DE"/>
              </w:rPr>
              <w:t>der personenbezogenen Daten)</w:t>
            </w: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Informationspflichten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(Art. 13 und 14 DSGVO)</w:t>
            </w: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Pr="007A4DB6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>
              <w:rPr>
                <w:rFonts w:ascii="DIN Pro" w:hAnsi="DIN Pro" w:cs="Arial"/>
                <w:lang w:eastAsia="de-DE"/>
              </w:rPr>
              <w:fldChar w:fldCharType="end"/>
            </w:r>
            <w:r w:rsidR="005C575C" w:rsidRPr="005C575C">
              <w:rPr>
                <w:rFonts w:ascii="DIN Pro" w:hAnsi="DIN Pro" w:cs="Arial"/>
                <w:lang w:val="de-DE" w:eastAsia="de-DE"/>
              </w:rPr>
              <w:t xml:space="preserve"> zu erfüllen durch (siehe beigefügtes Dokument): </w:t>
            </w:r>
            <w:r>
              <w:rPr>
                <w:rFonts w:ascii="DIN Pro" w:hAnsi="DIN Pro" w:cs="Arial"/>
                <w:lang w:val="de-DE" w:eastAsia="de-DE"/>
              </w:rPr>
              <w:t>mündliche Information der Beschäftigte</w:t>
            </w:r>
            <w:r w:rsidR="00AB71EB">
              <w:rPr>
                <w:rFonts w:ascii="DIN Pro" w:hAnsi="DIN Pro" w:cs="Arial"/>
                <w:lang w:val="de-DE" w:eastAsia="de-DE"/>
              </w:rPr>
              <w:t>n und Veröffentlichung im</w:t>
            </w:r>
            <w:r>
              <w:rPr>
                <w:rFonts w:ascii="DIN Pro" w:hAnsi="DIN Pro" w:cs="Arial"/>
                <w:lang w:val="de-DE" w:eastAsia="de-DE"/>
              </w:rPr>
              <w:t xml:space="preserve"> </w:t>
            </w:r>
            <w:r w:rsidR="00AB71EB">
              <w:rPr>
                <w:rFonts w:ascii="DIN Pro" w:hAnsi="DIN Pro" w:cs="Arial"/>
                <w:lang w:val="de-DE" w:eastAsia="de-DE"/>
              </w:rPr>
              <w:t>internen Wiki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nicht zu erfüllen</w:t>
            </w: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Datenschutz-Folgenabschätzung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(Art. 35 DSGVO)</w:t>
            </w: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C575C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 w:rsidRPr="005C575C">
              <w:rPr>
                <w:rFonts w:ascii="DIN Pro" w:hAnsi="DIN Pro" w:cs="Arial"/>
                <w:lang w:eastAsia="de-DE"/>
              </w:rPr>
              <w:fldChar w:fldCharType="end"/>
            </w:r>
            <w:r w:rsidRPr="005C575C">
              <w:rPr>
                <w:rFonts w:ascii="DIN Pro" w:hAnsi="DIN Pro" w:cs="Arial"/>
                <w:lang w:val="de-DE" w:eastAsia="de-DE"/>
              </w:rPr>
              <w:t xml:space="preserve"> erforderlich (siehe beigefügtes Dokument)</w:t>
            </w:r>
          </w:p>
          <w:p w:rsidR="005C575C" w:rsidRPr="005C575C" w:rsidRDefault="007A4DB6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>
              <w:rPr>
                <w:rFonts w:ascii="DIN Pro" w:hAnsi="DIN Pro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Pr="001C2C85">
              <w:rPr>
                <w:rFonts w:ascii="DIN Pro" w:hAnsi="DIN Pro" w:cs="Arial"/>
                <w:lang w:val="de-DE" w:eastAsia="de-DE"/>
              </w:rPr>
              <w:instrText xml:space="preserve"> FORMCHECKBOX </w:instrText>
            </w:r>
            <w:r w:rsidR="00DF1F0E">
              <w:rPr>
                <w:rFonts w:ascii="DIN Pro" w:hAnsi="DIN Pro" w:cs="Arial"/>
                <w:lang w:eastAsia="de-DE"/>
              </w:rPr>
            </w:r>
            <w:r w:rsidR="00DF1F0E">
              <w:rPr>
                <w:rFonts w:ascii="DIN Pro" w:hAnsi="DIN Pro" w:cs="Arial"/>
                <w:lang w:eastAsia="de-DE"/>
              </w:rPr>
              <w:fldChar w:fldCharType="separate"/>
            </w:r>
            <w:r>
              <w:rPr>
                <w:rFonts w:ascii="DIN Pro" w:hAnsi="DIN Pro" w:cs="Arial"/>
                <w:lang w:eastAsia="de-DE"/>
              </w:rPr>
              <w:fldChar w:fldCharType="end"/>
            </w:r>
            <w:r w:rsidR="005C575C" w:rsidRPr="005C575C">
              <w:rPr>
                <w:rFonts w:ascii="DIN Pro" w:hAnsi="DIN Pro" w:cs="Arial"/>
                <w:lang w:val="de-DE" w:eastAsia="de-DE"/>
              </w:rPr>
              <w:t xml:space="preserve">  nicht erforderlich</w:t>
            </w:r>
          </w:p>
        </w:tc>
      </w:tr>
      <w:tr w:rsidR="005C575C" w:rsidRPr="005C575C" w:rsidTr="00574779">
        <w:tc>
          <w:tcPr>
            <w:tcW w:w="2681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line="360" w:lineRule="auto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Sonstiges</w:t>
            </w:r>
          </w:p>
        </w:tc>
        <w:tc>
          <w:tcPr>
            <w:tcW w:w="6783" w:type="dxa"/>
            <w:gridSpan w:val="3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</w:p>
        </w:tc>
      </w:tr>
    </w:tbl>
    <w:p w:rsidR="005C575C" w:rsidRPr="005C575C" w:rsidRDefault="005C575C" w:rsidP="005C575C">
      <w:pPr>
        <w:widowControl w:val="0"/>
        <w:spacing w:after="0" w:line="240" w:lineRule="auto"/>
        <w:rPr>
          <w:rFonts w:ascii="DIN Pro" w:eastAsia="Times New Roman" w:hAnsi="DIN Pro" w:cs="Arial"/>
          <w:sz w:val="20"/>
          <w:lang w:eastAsia="de-DE"/>
        </w:rPr>
      </w:pPr>
      <w:r w:rsidRPr="005C575C">
        <w:rPr>
          <w:rFonts w:ascii="DIN Pro" w:eastAsia="Times New Roman" w:hAnsi="DIN Pro" w:cs="Arial"/>
          <w:sz w:val="20"/>
          <w:lang w:eastAsia="de-DE"/>
        </w:rPr>
        <w:t xml:space="preserve"> </w:t>
      </w:r>
    </w:p>
    <w:p w:rsidR="005C575C" w:rsidRPr="005C575C" w:rsidRDefault="005C575C" w:rsidP="005C575C">
      <w:pPr>
        <w:widowControl w:val="0"/>
        <w:spacing w:after="0" w:line="240" w:lineRule="auto"/>
        <w:rPr>
          <w:rFonts w:ascii="DIN Pro" w:eastAsia="Times New Roman" w:hAnsi="DIN Pro" w:cs="Arial"/>
          <w:sz w:val="20"/>
          <w:lang w:eastAsia="de-DE"/>
        </w:rPr>
      </w:pPr>
      <w:r w:rsidRPr="005C575C">
        <w:rPr>
          <w:rFonts w:ascii="DIN Pro" w:eastAsia="Times New Roman" w:hAnsi="DIN Pro" w:cs="Arial"/>
          <w:sz w:val="20"/>
          <w:lang w:eastAsia="de-DE"/>
        </w:rPr>
        <w:br w:type="page"/>
      </w:r>
    </w:p>
    <w:p w:rsidR="005C575C" w:rsidRPr="005C575C" w:rsidRDefault="005C575C" w:rsidP="005C575C">
      <w:pPr>
        <w:widowControl w:val="0"/>
        <w:spacing w:after="0" w:line="240" w:lineRule="auto"/>
        <w:rPr>
          <w:rFonts w:ascii="DIN Pro" w:eastAsia="Times New Roman" w:hAnsi="DIN Pro" w:cs="Arial"/>
          <w:b/>
          <w:sz w:val="24"/>
          <w:szCs w:val="24"/>
          <w:lang w:eastAsia="de-DE"/>
        </w:rPr>
      </w:pPr>
      <w:r w:rsidRPr="005C575C">
        <w:rPr>
          <w:rFonts w:ascii="DIN Pro" w:eastAsia="Times New Roman" w:hAnsi="DIN Pro" w:cs="Arial"/>
          <w:b/>
          <w:sz w:val="24"/>
          <w:szCs w:val="24"/>
          <w:lang w:eastAsia="de-DE"/>
        </w:rPr>
        <w:lastRenderedPageBreak/>
        <w:t>Technische und organisatorische Maßnahmen (Art. 32 DSGVO)</w:t>
      </w:r>
    </w:p>
    <w:p w:rsidR="005C575C" w:rsidRPr="005C575C" w:rsidRDefault="005C575C" w:rsidP="005C575C">
      <w:pPr>
        <w:widowControl w:val="0"/>
        <w:tabs>
          <w:tab w:val="left" w:pos="3802"/>
          <w:tab w:val="left" w:pos="5994"/>
        </w:tabs>
        <w:autoSpaceDE w:val="0"/>
        <w:autoSpaceDN w:val="0"/>
        <w:spacing w:before="1" w:after="0" w:line="240" w:lineRule="auto"/>
        <w:ind w:left="262"/>
        <w:rPr>
          <w:rFonts w:ascii="DIN Pro" w:eastAsia="Times New Roman" w:hAnsi="DIN Pro" w:cs="Arial"/>
          <w:sz w:val="20"/>
          <w:szCs w:val="20"/>
          <w:lang w:eastAsia="de-DE"/>
        </w:rPr>
      </w:pPr>
    </w:p>
    <w:tbl>
      <w:tblPr>
        <w:tblStyle w:val="Tabellenraster1"/>
        <w:tblW w:w="0" w:type="auto"/>
        <w:tblInd w:w="262" w:type="dxa"/>
        <w:tblLook w:val="04A0" w:firstRow="1" w:lastRow="0" w:firstColumn="1" w:lastColumn="0" w:noHBand="0" w:noVBand="1"/>
      </w:tblPr>
      <w:tblGrid>
        <w:gridCol w:w="9238"/>
      </w:tblGrid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  <w:r w:rsidRPr="005C575C">
              <w:rPr>
                <w:rFonts w:ascii="DIN Pro" w:hAnsi="DIN Pro" w:cs="Arial"/>
                <w:lang w:val="de-DE" w:eastAsia="de-DE"/>
              </w:rPr>
              <w:t>Erläuterungen zu den einzelnen Maßnahmen, insbesondere soweit diese das Verfahren betreffen:</w:t>
            </w:r>
          </w:p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1. Zugangskontrolle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Verwehrung des Zugangs zu Verarbeitungsanlagen, mit denen die Verarbeitung durchgeführt wird, für Unbefugte</w:t>
            </w:r>
          </w:p>
          <w:p w:rsidR="005C575C" w:rsidRPr="00AB71EB" w:rsidRDefault="00AB71EB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Um Zugang zur Benutzeroberfläche des Ticketsystems zu erhalten, wird ein passwortgeschütztes </w:t>
            </w:r>
            <w:r w:rsidRPr="00AB71EB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Benutzer</w:t>
            </w: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konto benötigt, welches wiederum von der Stabsstelle IT-Infrastruktur und Biodiversitätsinformatik ausgegeben und administriert wird. Diesem Benutzerkonto sind je nach Rolle des Benutzers bestimmte Rechte zugeordnet.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2. Datenträgerkontrolle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Verhinderung des unbefugten Lesens, Kopierens, Veränderns oder Löschens von Datenträgern</w:t>
            </w:r>
          </w:p>
          <w:p w:rsidR="005C575C" w:rsidRPr="005C575C" w:rsidRDefault="00AB71EB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Das System ist auf einem virtuellen Linux Betriebssystem intern gehostet. Zugriff auf sowohl den Host des virtuellen Systems, als auch auf das virtuelle System selbst, obliegt lediglich der Stabsstelle IT-Infrastruktur und Biodiversitätsinformatik, was durch passwortgeschützte Benutzerkonten bewerkstelligt wird.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 xml:space="preserve">3. Speicherkontrolle 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Verhinderung der unbefugten Eingabe von personenbezogenen Daten sowie der unbefugten Kenntnisnahme, Veränderung und Löschung von gespeicherten personenbezogenen Daten</w:t>
            </w:r>
          </w:p>
          <w:p w:rsidR="001842B2" w:rsidRDefault="00AB71EB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AB71EB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Durch ein Rechtesystem. </w:t>
            </w: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Die in Punkt 1 genannten Konten zum Zugriff auf die Benutzeroberfläche haben je nach Rolle des Benutzers unterschiedliche Rechte.</w:t>
            </w:r>
          </w:p>
          <w:p w:rsidR="001842B2" w:rsidRDefault="001842B2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+ </w:t>
            </w:r>
            <w:r w:rsidR="00AB71EB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Sog. „Kunden“ (Mitarbeiter, die sich mit einem</w:t>
            </w: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 / </w:t>
            </w:r>
            <w:proofErr w:type="gramStart"/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einer</w:t>
            </w:r>
            <w:r w:rsidR="00AB71EB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 technischen Problem</w:t>
            </w:r>
            <w:proofErr w:type="gramEnd"/>
            <w:r w:rsidR="00AB71EB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 / Computerproblem</w:t>
            </w:r>
            <w:r w:rsidR="00D2392C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 / Anfrage</w:t>
            </w:r>
            <w:r w:rsidR="00AB71EB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 an die jeweilige Su</w:t>
            </w:r>
            <w:r w:rsidR="00D2392C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pportabteilung wenden)</w:t>
            </w: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 können nur ihre eigenen Supportanfragen (Tickets) einsehen, …</w:t>
            </w:r>
          </w:p>
          <w:p w:rsidR="001842B2" w:rsidRDefault="001842B2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+ …wohingegen Mitarbeiter der „Support“ leistenden Abteilungen alle Tickets an ihre jeweilige Abteilung einsehen können, damit der „Support“ überhaupt möglich ist.</w:t>
            </w:r>
          </w:p>
          <w:p w:rsidR="005C575C" w:rsidRDefault="001842B2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+ Die Stabsstelle IT-Infrastruktur und Biodiversitätsinformatik hat potentiell Zugriff auf alle Tickets aller „Kunden“ und verwaltet das Rechtesystem und die Benutzerkonten.</w:t>
            </w:r>
          </w:p>
          <w:p w:rsidR="001842B2" w:rsidRPr="00AB71EB" w:rsidRDefault="001842B2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+ Zusätzlich: Auf die Eingabe der „Kunden“ in ihren Supportanfragen/Tickets kann initial kein Einfluss genommen werden. Unsachgemäße Eingaben können nachträglich bei Kenntnisnahme durch die Stabsstelle IT-Infrastruktur und Biodiversitätsinformatik gelöscht werden.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4. Benutzerkontrolle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Verhinderung der Nutzung automatisierter Verarbeitungssysteme mit Hilfe von Einrichtungen zur Datenübertragung durch Unbefugte</w:t>
            </w:r>
          </w:p>
          <w:p w:rsidR="005C575C" w:rsidRPr="001842B2" w:rsidRDefault="001842B2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1842B2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Siehe Punkt 1, 2 und 3.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5. Zugriffskontrolle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Gewährleistung, dass die zur Benutzung eines automatisierten Verarbeitungssystems Berechtigten ausschließlich zu den von ihrer Zugangsberechtigung umfassten personenbezogenen Daten Zugang haben</w:t>
            </w:r>
          </w:p>
          <w:p w:rsidR="001842B2" w:rsidRPr="001842B2" w:rsidRDefault="001842B2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1842B2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Siehe Punkt 1, 2 und 3.</w:t>
            </w:r>
          </w:p>
          <w:p w:rsidR="005C575C" w:rsidRPr="005C575C" w:rsidRDefault="005C575C" w:rsidP="005C575C">
            <w:pPr>
              <w:tabs>
                <w:tab w:val="left" w:pos="3802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ab/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6. Übertragungskontrolle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Gewährleistung, dass überprüft und festgestellt werden kann, an welche Stellen personenbezogene Daten mit Hilfe von Einrichtungen zur Datenübertragung übermittelt oder zur Verfügung gestellt wurden oder werden können</w:t>
            </w:r>
          </w:p>
          <w:p w:rsidR="00E06247" w:rsidRPr="00383707" w:rsidRDefault="00E06247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+ Eingabe nur über die Benutzeroberfläche möglich.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7. Eingabekontrolle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Gewährleistung, dass nachträglich überprüft und festgestellt werden kann, welche personenbezogenen Daten zu welcher Zeit und von wem in automatisierte Verarbeitungssysteme eingegeben oder verändert worden sind</w:t>
            </w:r>
          </w:p>
          <w:p w:rsidR="00E06247" w:rsidRPr="00383707" w:rsidRDefault="00E06247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+ Durch Logdateien auf dem virtuellen Betriebssystem</w:t>
            </w:r>
            <w:r w:rsidR="000576AC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 (/</w:t>
            </w:r>
            <w:proofErr w:type="spellStart"/>
            <w:r w:rsidR="000576AC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var</w:t>
            </w:r>
            <w:proofErr w:type="spellEnd"/>
            <w:r w:rsidR="000576AC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/log/</w:t>
            </w:r>
            <w:proofErr w:type="spellStart"/>
            <w:r w:rsidR="000576AC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zammad</w:t>
            </w:r>
            <w:proofErr w:type="spellEnd"/>
            <w:r w:rsidR="000576AC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/* und </w:t>
            </w:r>
            <w:r w:rsidR="00383707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über </w:t>
            </w:r>
            <w:proofErr w:type="spellStart"/>
            <w:r w:rsidR="00383707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journalctl</w:t>
            </w:r>
            <w:proofErr w:type="spellEnd"/>
            <w:r w:rsidR="00383707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-Programm).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8. Transportkontrolle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Gewährleistung, dass bei der Übermittlung personenbezogener Daten sowie beim Transport von Datenträgern die Vertraulichkeit und Integrität der Daten geschützt werden</w:t>
            </w:r>
          </w:p>
          <w:p w:rsidR="001842B2" w:rsidRPr="00383707" w:rsidRDefault="001842B2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+ Der Zugriff auf die Benutzeroberfläche erfolgt ausschließlich über das kryptografisch geschützte HTTPS-Protokoll.</w:t>
            </w:r>
          </w:p>
          <w:p w:rsidR="001842B2" w:rsidRPr="00383707" w:rsidRDefault="001842B2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lastRenderedPageBreak/>
              <w:t xml:space="preserve">+ Der Zugriff auf das zugrundeliegende virtuelle Betriebssystem (vgl. Punkt </w:t>
            </w:r>
            <w:r w:rsidR="00E06247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2) erfolgt über das kryptografisch geschützte SSH-Protokoll (</w:t>
            </w:r>
            <w:proofErr w:type="spellStart"/>
            <w:r w:rsidR="00E06247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OpenSSH</w:t>
            </w:r>
            <w:proofErr w:type="spellEnd"/>
            <w:r w:rsidR="00E06247"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-Programmpaket).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lastRenderedPageBreak/>
              <w:t>9. Wiederherstellbarkeit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Gewährleistung, dass eingesetzte Systeme im Störungsfall wiederhergestellt werden können</w:t>
            </w:r>
          </w:p>
          <w:p w:rsidR="005C575C" w:rsidRPr="00383707" w:rsidRDefault="00383707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Virtuelle Maschinen werden </w:t>
            </w:r>
            <w:r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 xml:space="preserve">über das Hostsystem </w:t>
            </w:r>
            <w:proofErr w:type="spellStart"/>
            <w:r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gebackupt</w:t>
            </w:r>
            <w:proofErr w:type="spellEnd"/>
            <w:r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10. Zuverlässigkeit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Gewährleistung, dass alle Funktionen des Systems zur Verfügung stehen und auftretende Fehlfunktionen gemeldet werden</w:t>
            </w:r>
          </w:p>
          <w:p w:rsidR="00383707" w:rsidRPr="00383707" w:rsidRDefault="00383707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Die virtuelle Maschine und das Hostsystem sind in das IT-Monitoring integriert und werden von diesem überwacht.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11. Datenintegrität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Gewährleistung, dass gespeicherte personenbezogene Daten nicht durch Fehlfunktionen des Systems beschädigt werden können</w:t>
            </w:r>
          </w:p>
          <w:p w:rsidR="00383707" w:rsidRPr="00383707" w:rsidRDefault="00383707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Siehe Punkt 9 (bei Fehlfunktionen können die Daten wiederhergestellt werden).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12. Auftragskontrolle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Gewährleistung, dass personenbezogene Daten, die im Auftrag verarbeitet werden, nur entsprechend den Weisungen des Auftraggebers verarbeitet werden können</w:t>
            </w:r>
          </w:p>
          <w:p w:rsidR="005C575C" w:rsidRPr="00383707" w:rsidRDefault="00383707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lang w:val="de-DE" w:eastAsia="de-DE"/>
              </w:rPr>
            </w:pPr>
            <w:r w:rsidRPr="00383707">
              <w:rPr>
                <w:rFonts w:ascii="DIN Pro" w:hAnsi="DIN Pro" w:cs="Arial"/>
                <w:i/>
                <w:sz w:val="18"/>
                <w:lang w:val="de-DE" w:eastAsia="de-DE"/>
              </w:rPr>
              <w:t>Es findet keine Auftragsverarbeitung statt.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13. Verfügbarkeitskontrolle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Gewährleistung, dass personenbezogene Daten gegen Zerstörung oder Verlust geschützt sind</w:t>
            </w:r>
          </w:p>
          <w:p w:rsidR="00383707" w:rsidRPr="00383707" w:rsidRDefault="00383707" w:rsidP="00383707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</w:pPr>
            <w:r w:rsidRPr="00383707">
              <w:rPr>
                <w:rFonts w:ascii="DIN Pro" w:hAnsi="DIN Pro" w:cs="Arial"/>
                <w:i/>
                <w:sz w:val="18"/>
                <w:szCs w:val="18"/>
                <w:lang w:val="de-DE" w:eastAsia="de-DE"/>
              </w:rPr>
              <w:t>Siehe Punkt 9 (bei Fehlfunktionen können die Daten wiederhergestellt werden).</w:t>
            </w:r>
          </w:p>
          <w:p w:rsidR="005C575C" w:rsidRPr="005C575C" w:rsidRDefault="005C575C" w:rsidP="005C575C">
            <w:pPr>
              <w:tabs>
                <w:tab w:val="left" w:pos="3802"/>
                <w:tab w:val="left" w:pos="5994"/>
              </w:tabs>
              <w:autoSpaceDE w:val="0"/>
              <w:autoSpaceDN w:val="0"/>
              <w:spacing w:before="1"/>
              <w:rPr>
                <w:rFonts w:ascii="DIN Pro" w:hAnsi="DIN Pro" w:cs="Arial"/>
                <w:lang w:val="de-DE" w:eastAsia="de-DE"/>
              </w:rPr>
            </w:pPr>
          </w:p>
        </w:tc>
      </w:tr>
      <w:tr w:rsidR="005C575C" w:rsidRPr="005C575C" w:rsidTr="00574779">
        <w:tc>
          <w:tcPr>
            <w:tcW w:w="9650" w:type="dxa"/>
          </w:tcPr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b/>
                <w:lang w:val="de-DE" w:eastAsia="de-DE"/>
              </w:rPr>
            </w:pPr>
            <w:r w:rsidRPr="005C575C">
              <w:rPr>
                <w:rFonts w:ascii="DIN Pro" w:hAnsi="DIN Pro" w:cs="Arial"/>
                <w:b/>
                <w:lang w:val="de-DE" w:eastAsia="de-DE"/>
              </w:rPr>
              <w:t>14. Trennbarkeit</w:t>
            </w:r>
            <w:r w:rsidRPr="005C575C">
              <w:rPr>
                <w:rFonts w:ascii="DIN Pro" w:hAnsi="DIN Pro" w:cs="Arial"/>
                <w:b/>
                <w:lang w:val="de-DE" w:eastAsia="de-DE"/>
              </w:rPr>
              <w:tab/>
            </w:r>
          </w:p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sz w:val="18"/>
                <w:szCs w:val="18"/>
                <w:lang w:val="de-DE" w:eastAsia="de-DE"/>
              </w:rPr>
            </w:pPr>
            <w:r w:rsidRPr="005C575C">
              <w:rPr>
                <w:rFonts w:ascii="DIN Pro" w:hAnsi="DIN Pro" w:cs="Arial"/>
                <w:sz w:val="18"/>
                <w:szCs w:val="18"/>
                <w:lang w:val="de-DE" w:eastAsia="de-DE"/>
              </w:rPr>
              <w:t>Gewährleistung, dass zu unterschiedlichen Zwecken erhobene personenbezogene Daten getrennt verarbeitet werden können</w:t>
            </w:r>
            <w:bookmarkStart w:id="1" w:name="_GoBack"/>
            <w:bookmarkEnd w:id="1"/>
          </w:p>
          <w:p w:rsidR="005C575C" w:rsidRPr="00383707" w:rsidRDefault="00383707" w:rsidP="005C575C">
            <w:pPr>
              <w:autoSpaceDE w:val="0"/>
              <w:autoSpaceDN w:val="0"/>
              <w:rPr>
                <w:rFonts w:ascii="DIN Pro" w:hAnsi="DIN Pro" w:cs="Arial"/>
                <w:i/>
                <w:sz w:val="18"/>
                <w:lang w:val="de-DE" w:eastAsia="de-DE"/>
              </w:rPr>
            </w:pPr>
            <w:r w:rsidRPr="00383707">
              <w:rPr>
                <w:rFonts w:ascii="DIN Pro" w:hAnsi="DIN Pro" w:cs="Arial"/>
                <w:i/>
                <w:sz w:val="18"/>
                <w:lang w:val="de-DE" w:eastAsia="de-DE"/>
              </w:rPr>
              <w:t>Es gibt keine unterschiedlichen Zwecke.</w:t>
            </w:r>
          </w:p>
          <w:p w:rsidR="005C575C" w:rsidRPr="005C575C" w:rsidRDefault="005C575C" w:rsidP="005C575C">
            <w:pPr>
              <w:autoSpaceDE w:val="0"/>
              <w:autoSpaceDN w:val="0"/>
              <w:rPr>
                <w:rFonts w:ascii="DIN Pro" w:hAnsi="DIN Pro" w:cs="Arial"/>
                <w:lang w:val="de-DE" w:eastAsia="de-DE"/>
              </w:rPr>
            </w:pPr>
          </w:p>
        </w:tc>
      </w:tr>
    </w:tbl>
    <w:p w:rsidR="005C575C" w:rsidRPr="005C575C" w:rsidRDefault="005C575C" w:rsidP="005C575C">
      <w:pPr>
        <w:widowControl w:val="0"/>
        <w:tabs>
          <w:tab w:val="left" w:pos="3802"/>
          <w:tab w:val="left" w:pos="5994"/>
        </w:tabs>
        <w:autoSpaceDE w:val="0"/>
        <w:autoSpaceDN w:val="0"/>
        <w:spacing w:before="1" w:after="0" w:line="240" w:lineRule="auto"/>
        <w:ind w:left="262"/>
        <w:rPr>
          <w:rFonts w:ascii="DIN Pro" w:eastAsia="Times New Roman" w:hAnsi="DIN Pro" w:cs="Arial"/>
          <w:sz w:val="20"/>
          <w:szCs w:val="20"/>
          <w:lang w:eastAsia="de-DE"/>
        </w:rPr>
      </w:pPr>
    </w:p>
    <w:p w:rsidR="003C1511" w:rsidRPr="005C575C" w:rsidRDefault="003C1511"/>
    <w:p w:rsidR="005C575C" w:rsidRPr="005C575C" w:rsidRDefault="005C575C"/>
    <w:sectPr w:rsidR="005C575C" w:rsidRPr="005C575C">
      <w:footerReference w:type="default" r:id="rId7"/>
      <w:pgSz w:w="11910" w:h="16820"/>
      <w:pgMar w:top="1280" w:right="960" w:bottom="480" w:left="1440" w:header="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F0E" w:rsidRDefault="00DF1F0E">
      <w:pPr>
        <w:spacing w:after="0" w:line="240" w:lineRule="auto"/>
      </w:pPr>
      <w:r>
        <w:separator/>
      </w:r>
    </w:p>
  </w:endnote>
  <w:endnote w:type="continuationSeparator" w:id="0">
    <w:p w:rsidR="00DF1F0E" w:rsidRDefault="00DF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Pro">
    <w:panose1 w:val="02000503040000020003"/>
    <w:charset w:val="00"/>
    <w:family w:val="modern"/>
    <w:notTrueType/>
    <w:pitch w:val="variable"/>
    <w:sig w:usb0="A00002FF" w:usb1="4000A47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BE3" w:rsidRPr="00CA6BE3" w:rsidRDefault="005C575C">
    <w:pPr>
      <w:pStyle w:val="Fuzeile"/>
      <w:jc w:val="right"/>
      <w:rPr>
        <w:sz w:val="16"/>
        <w:szCs w:val="16"/>
      </w:rPr>
    </w:pPr>
    <w:r w:rsidRPr="00CA6BE3">
      <w:rPr>
        <w:sz w:val="16"/>
        <w:szCs w:val="16"/>
      </w:rPr>
      <w:t xml:space="preserve">Seite </w:t>
    </w:r>
    <w:r w:rsidRPr="00CA6BE3">
      <w:rPr>
        <w:bCs/>
        <w:sz w:val="16"/>
        <w:szCs w:val="16"/>
      </w:rPr>
      <w:fldChar w:fldCharType="begin"/>
    </w:r>
    <w:r w:rsidRPr="00CA6BE3">
      <w:rPr>
        <w:bCs/>
        <w:sz w:val="16"/>
        <w:szCs w:val="16"/>
      </w:rPr>
      <w:instrText>PAGE</w:instrText>
    </w:r>
    <w:r w:rsidRPr="00CA6BE3">
      <w:rPr>
        <w:bCs/>
        <w:sz w:val="16"/>
        <w:szCs w:val="16"/>
      </w:rPr>
      <w:fldChar w:fldCharType="separate"/>
    </w:r>
    <w:r w:rsidR="00672185">
      <w:rPr>
        <w:bCs/>
        <w:noProof/>
        <w:sz w:val="16"/>
        <w:szCs w:val="16"/>
      </w:rPr>
      <w:t>5</w:t>
    </w:r>
    <w:r w:rsidRPr="00CA6BE3">
      <w:rPr>
        <w:bCs/>
        <w:sz w:val="16"/>
        <w:szCs w:val="16"/>
      </w:rPr>
      <w:fldChar w:fldCharType="end"/>
    </w:r>
    <w:r w:rsidRPr="00CA6BE3">
      <w:rPr>
        <w:sz w:val="16"/>
        <w:szCs w:val="16"/>
      </w:rPr>
      <w:t xml:space="preserve"> von </w:t>
    </w:r>
    <w:r w:rsidRPr="00CA6BE3">
      <w:rPr>
        <w:bCs/>
        <w:sz w:val="16"/>
        <w:szCs w:val="16"/>
      </w:rPr>
      <w:fldChar w:fldCharType="begin"/>
    </w:r>
    <w:r w:rsidRPr="00CA6BE3">
      <w:rPr>
        <w:bCs/>
        <w:sz w:val="16"/>
        <w:szCs w:val="16"/>
      </w:rPr>
      <w:instrText>NUMPAGES</w:instrText>
    </w:r>
    <w:r w:rsidRPr="00CA6BE3">
      <w:rPr>
        <w:bCs/>
        <w:sz w:val="16"/>
        <w:szCs w:val="16"/>
      </w:rPr>
      <w:fldChar w:fldCharType="separate"/>
    </w:r>
    <w:r w:rsidR="00672185">
      <w:rPr>
        <w:bCs/>
        <w:noProof/>
        <w:sz w:val="16"/>
        <w:szCs w:val="16"/>
      </w:rPr>
      <w:t>7</w:t>
    </w:r>
    <w:r w:rsidRPr="00CA6BE3">
      <w:rPr>
        <w:bCs/>
        <w:sz w:val="16"/>
        <w:szCs w:val="16"/>
      </w:rPr>
      <w:fldChar w:fldCharType="end"/>
    </w:r>
  </w:p>
  <w:p w:rsidR="00886960" w:rsidRDefault="00DF1F0E">
    <w:pPr>
      <w:pStyle w:val="Textkrper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F0E" w:rsidRDefault="00DF1F0E">
      <w:pPr>
        <w:spacing w:after="0" w:line="240" w:lineRule="auto"/>
      </w:pPr>
      <w:r>
        <w:separator/>
      </w:r>
    </w:p>
  </w:footnote>
  <w:footnote w:type="continuationSeparator" w:id="0">
    <w:p w:rsidR="00DF1F0E" w:rsidRDefault="00DF1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AC"/>
    <w:rsid w:val="000576AC"/>
    <w:rsid w:val="000E1343"/>
    <w:rsid w:val="001842B2"/>
    <w:rsid w:val="001C2C85"/>
    <w:rsid w:val="00383707"/>
    <w:rsid w:val="003C1511"/>
    <w:rsid w:val="003C5B14"/>
    <w:rsid w:val="0046172A"/>
    <w:rsid w:val="0056373B"/>
    <w:rsid w:val="005C575C"/>
    <w:rsid w:val="00602874"/>
    <w:rsid w:val="00672185"/>
    <w:rsid w:val="006758E7"/>
    <w:rsid w:val="006A02EB"/>
    <w:rsid w:val="007A4DB6"/>
    <w:rsid w:val="00970E15"/>
    <w:rsid w:val="00A94670"/>
    <w:rsid w:val="00AB71EB"/>
    <w:rsid w:val="00B470E4"/>
    <w:rsid w:val="00D2392C"/>
    <w:rsid w:val="00DF1F0E"/>
    <w:rsid w:val="00E06247"/>
    <w:rsid w:val="00F72EAC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10C9"/>
  <w15:chartTrackingRefBased/>
  <w15:docId w15:val="{538B8932-E3F2-4FBF-B2A3-FA55B9B9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5C575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C575C"/>
  </w:style>
  <w:style w:type="table" w:customStyle="1" w:styleId="Tabellenraster1">
    <w:name w:val="Tabellenraster1"/>
    <w:basedOn w:val="NormaleTabelle"/>
    <w:next w:val="Tabellenraster"/>
    <w:uiPriority w:val="59"/>
    <w:rsid w:val="005C575C"/>
    <w:pPr>
      <w:widowControl w:val="0"/>
      <w:spacing w:after="0" w:line="240" w:lineRule="auto"/>
    </w:pPr>
    <w:rPr>
      <w:rFonts w:eastAsia="Times New Roman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5C575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C575C"/>
    <w:rPr>
      <w:rFonts w:ascii="Arial" w:eastAsia="Times New Roman" w:hAnsi="Arial" w:cs="Arial"/>
      <w:lang w:eastAsia="de-DE"/>
    </w:rPr>
  </w:style>
  <w:style w:type="table" w:styleId="Tabellenraster">
    <w:name w:val="Table Grid"/>
    <w:basedOn w:val="NormaleTabelle"/>
    <w:uiPriority w:val="39"/>
    <w:rsid w:val="005C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8AB6-2D6A-4EB7-AC47-C219ED45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1341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Hoinle</dc:creator>
  <cp:keywords/>
  <dc:description/>
  <cp:lastModifiedBy>Philipp Schuhmann</cp:lastModifiedBy>
  <cp:revision>15</cp:revision>
  <dcterms:created xsi:type="dcterms:W3CDTF">2022-03-17T10:33:00Z</dcterms:created>
  <dcterms:modified xsi:type="dcterms:W3CDTF">2025-03-25T10:08:00Z</dcterms:modified>
</cp:coreProperties>
</file>